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79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4"/>
          <w:sz w:val="32"/>
          <w:szCs w:val="32"/>
        </w:rPr>
        <w:t xml:space="preserve">ГУБЕРНАТОР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20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431" w:after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</w:r>
      <w:r>
        <w:rPr>
          <w:rFonts w:ascii="Times New Roman" w:hAnsi="Times New Roman" w:eastAsia="Times New Roman" w:cs="Times New Roman"/>
          <w:color w:val="000000"/>
          <w:sz w:val="20"/>
        </w:rPr>
        <w:tab/>
        <w:t xml:space="preserve">№ 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227" w:after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7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в 2022 – 2028 годах субсидии из областного бюджета за счет средств фе</w:t>
      </w:r>
      <w:r>
        <w:rPr>
          <w:rFonts w:ascii="Times New Roman" w:hAnsi="Times New Roman" w:cs="Times New Roman"/>
          <w:sz w:val="28"/>
          <w:szCs w:val="28"/>
        </w:rPr>
        <w:t xml:space="preserve">дерального и областного бюджетов некоммерческой организации – Фонду «Микрокредитная компания Еврейской автономной области» на финансовое обеспечение создания (капитализации) и (или) деятельности (докапитализации) регионального фонда развития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правительства Еврейской автономной области от 02.06.2022 № 214-пп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07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1.Внести в порядок предоставления в 202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2028 годах </w:t>
      </w:r>
      <w:r>
        <w:rPr>
          <w:rFonts w:ascii="Times New Roman" w:hAnsi="Times New Roman" w:cs="Times New Roman"/>
          <w:sz w:val="28"/>
          <w:szCs w:val="28"/>
        </w:rPr>
        <w:t xml:space="preserve">субсидии из областного бюджета за счет средств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и областного бюджетов некоммерческой организации – Фонду «Микрокредитная компания Еврейской автономной области» на финансовое обеспечение создания (капитализации) и (или) деятельности (докапитализации) регионального фонда развития промышленности»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02.06.2022 № 214-пп «Об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в 2022 – 2028 годах субсидии из областного бюджета за счет средств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и областного бюджетов некоммерческой организации – Фонду «Микрокредитная компания Еврейской автономной области» на финансовое обеспечение создания (капитализации) и (или) деятельности (докапитализации) регионального фонда развития промышленности»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изменения в него </w:t>
      </w:r>
      <w:r>
        <w:rPr>
          <w:rFonts w:ascii="Times New Roman" w:hAnsi="Times New Roman" w:cs="Times New Roman"/>
          <w:sz w:val="28"/>
          <w:szCs w:val="28"/>
        </w:rPr>
        <w:t xml:space="preserve">изложить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«Порядок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7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в 2022 – 2028 годах субсидии из областного бюджета за счет средств фе</w:t>
      </w:r>
      <w:r>
        <w:rPr>
          <w:rFonts w:ascii="Times New Roman" w:hAnsi="Times New Roman" w:cs="Times New Roman"/>
          <w:sz w:val="28"/>
          <w:szCs w:val="28"/>
        </w:rPr>
        <w:t xml:space="preserve">дерального и областного бюджетов некоммерческой организации – Фонду «Микрокредитная компания Еврейской автономной области» на финансовое обеспечение создания (капитализации) и (или) деятельности (докапитализации) регионального фонда развития промышленности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1. Общие положения</w:t>
      </w:r>
      <w:r>
        <w:rPr>
          <w:rFonts w:ascii="Times New Roman" w:hAnsi="Times New Roman" w:eastAsia="Arial" w:cs="Times New Roman"/>
        </w:rPr>
      </w:r>
      <w:r>
        <w:rPr>
          <w:rFonts w:ascii="Times New Roman" w:hAnsi="Times New Roman" w:eastAsia="Arial" w:cs="Times New Roman"/>
        </w:rPr>
      </w:r>
    </w:p>
    <w:p>
      <w:pPr>
        <w:pStyle w:val="90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предоставления в 202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2028 годах субсидий </w:t>
      </w:r>
      <w:r>
        <w:rPr>
          <w:rFonts w:ascii="Times New Roman" w:hAnsi="Times New Roman" w:cs="Times New Roman"/>
          <w:sz w:val="28"/>
          <w:szCs w:val="28"/>
        </w:rPr>
        <w:t xml:space="preserve">субсидии из областного бюджета за счет средств федерального и областного бюджетов некоммерческой организации – Фонду «Микрокредитная компания Еврейской автономной области» </w:t>
      </w:r>
      <w:bookmarkStart w:id="0" w:name="_Hlk175307221"/>
      <w:r>
        <w:rPr>
          <w:rFonts w:ascii="Times New Roman" w:hAnsi="Times New Roman" w:cs="Times New Roman"/>
          <w:sz w:val="28"/>
          <w:szCs w:val="28"/>
        </w:rPr>
        <w:t xml:space="preserve">на финансовое обеспечение создания (капитализации) и (или) деятельности (докапитализации) регионального фонда развития промышленности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Порядок), определяет цели, условия и механизм предоставления в 202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2028 годах субсидий из областного бюджета за счет средств федерального и областного бюджетов </w:t>
      </w:r>
      <w:r>
        <w:rPr>
          <w:rFonts w:ascii="Times New Roman" w:hAnsi="Times New Roman" w:cs="Times New Roman"/>
          <w:sz w:val="28"/>
          <w:szCs w:val="28"/>
        </w:rPr>
        <w:t xml:space="preserve">на финансовое обеспечение создания (капитализации) и (или) деятельности (докапитализации) регионального фонда развития промышленности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(далее – субсидия).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Понятия, используемые в настоящем Порядке, применя</w:t>
      </w:r>
      <w:r>
        <w:rPr>
          <w:rFonts w:ascii="Times New Roman" w:hAnsi="Times New Roman" w:cs="Times New Roman"/>
          <w:sz w:val="28"/>
          <w:szCs w:val="28"/>
        </w:rPr>
        <w:t xml:space="preserve">ются в значениях, определенных Правилами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</w:t>
      </w:r>
      <w:r>
        <w:rPr>
          <w:rFonts w:ascii="Times New Roman" w:hAnsi="Times New Roman" w:cs="Times New Roman"/>
          <w:sz w:val="28"/>
          <w:szCs w:val="28"/>
        </w:rPr>
        <w:t xml:space="preserve">м развития промышленности, предусмотренными приложением № 3 к государственной программе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15.04.2014 № 328.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государственной программой Еврейской автономной области «Развитие промышленности в Еврейской автономной области» на 2024 </w:t>
      </w:r>
      <w:r>
        <w:rPr>
          <w:rFonts w:ascii="Times New Roman" w:hAnsi="Times New Roman" w:cs="Times New Roman"/>
          <w:sz w:val="27"/>
          <w:szCs w:val="27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2028 годы, утвержденной постановлением правительства Еврейской автономной области от 14.12.2023 № 554-пп «Об утверждении государственной программы Еврейской автономной области «Развитие промышленности в Еврейской автономной области» на 2024 </w:t>
      </w:r>
      <w:r>
        <w:rPr>
          <w:rFonts w:ascii="Times New Roman" w:hAnsi="Times New Roman" w:cs="Times New Roman"/>
          <w:sz w:val="27"/>
          <w:szCs w:val="27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2028 годы» в </w:t>
      </w:r>
      <w:r>
        <w:rPr>
          <w:rFonts w:ascii="Times New Roman" w:hAnsi="Times New Roman" w:cs="Times New Roman"/>
          <w:sz w:val="28"/>
          <w:szCs w:val="28"/>
        </w:rPr>
        <w:t xml:space="preserve">целях реализации мероприятия «Субсидии </w:t>
      </w:r>
      <w:r>
        <w:rPr>
          <w:rFonts w:ascii="Times New Roman" w:hAnsi="Times New Roman" w:cs="Times New Roman"/>
          <w:sz w:val="28"/>
          <w:szCs w:val="28"/>
        </w:rPr>
        <w:t xml:space="preserve">на финансовое обеспечение создания (капитализации) и (или) деятельности (докапитализации) регионального фонда развития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– Фонд «Микрокредитная компания Еврейской авт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ономной области»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(далее – Фонд).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Субсидия предоставляется в целях софинансирования расходных обязательств субъектов Российской Федерации, возникающих при осуществлении полномочий по финансовому обеспечению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создания (капитализации) и (или) деятельности (докапитализации) регионального фонда развит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ия промышленно</w:t>
      </w:r>
      <w:r>
        <w:rPr>
          <w:rFonts w:ascii="Times New Roman" w:hAnsi="Times New Roman" w:cs="Times New Roman"/>
          <w:sz w:val="28"/>
          <w:szCs w:val="28"/>
        </w:rPr>
        <w:t xml:space="preserve">сти, созданного в организационно-правовой форме, предусмотренной частью 1 статьи 11 Федерального закона «О промышленной политике в Российской Федерации», входящих в состав Российской Федерации на 1 января 2022 года. 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Средства из бюджета субъекта Российской Федерации, источником софинансирования которых является субсидия предоставляются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создание (капитализацию) и (или) обеспечение деятельности (докапитализации) регионального фонда развития промышленности на условиях, в соответствии с которыми средства из бюджета субъекта Российской Федерации не могут быть направлены на финансирование адми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нистративно-хозяйственной деятельности регионального фонда развития промышленности, и (или) предоставление региональным фондом развития промышленности финансовой поддержки промышленным предприятиям, основной вид деятельности которых не относится к сфере 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дения Министерства промышленности и торговли Российской Федерации, и (или) финансирование инвестиционных проектов, обязательства по софинансированию которых со стороны заявителя, и (или) частных инвесторов, и (или) за счет банковских кредитов составляют су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ммарно менее 20 процентов общего бюджета инвестиционного проекта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540"/>
        <w:jc w:val="both"/>
        <w:spacing w:before="22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Предоставление региональным фондом развития промышленности финансовой поддержки промышленным предприятиям, источником финансового обеспечения которой являются средства субсидии, осуществляется в порядке и на условиях, предусмотренных стандартом регио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нального фонда развития промышленности по предоставлению финансовой поддержки в форме займов субъектам деятельности в сфере промышленности (далее - стандарт финансирования промышленных предприятий), предусматривающим следующие условия: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contextualSpacing/>
        <w:ind w:left="0" w:right="0" w:firstLine="540"/>
        <w:jc w:val="both"/>
        <w:spacing w:before="22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а) заем предоставляется на производство в рамках инвестиционного проекта промышленной продукции, включенной в перечень приоритетной продукции, определяемый Межведомственной комиссией по вопросам льготного кредитования инвестиционных проектов, направленных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 производство приоритетной продукции в соответствии с </w:t>
      </w:r>
      <w:hyperlink r:id="rId12" w:tooltip="https://login.consultant.ru/link/?req=doc&amp;base=LAW&amp;n=440395&amp;dst=100531" w:history="1">
        <w:r>
          <w:rPr>
            <w:rStyle w:val="887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Положением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о Межведомственной комиссии по вопросам льготного кредитования инвестиционных проектов, направленных на производство приоритетной продукции, утвержденным постановлением Правительства Российской Федерации от 22 февраля 2023 г. № 295 «О государственной подд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ержке организаций, реализующих инвестиционные проекты, направленные на производство приоритетной продукции»;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left="0" w:right="0" w:firstLine="540"/>
        <w:jc w:val="both"/>
        <w:spacing w:before="22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б) заем, предоставляемый на один инвестиционный проект, не превышает 100 млн. рублей;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left="0" w:right="0" w:firstLine="540"/>
        <w:jc w:val="both"/>
        <w:spacing w:before="22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в) процентная ставка по займу устанавливается не ниже 5 процентов годовых;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left="0" w:right="0" w:firstLine="540"/>
        <w:jc w:val="both"/>
        <w:spacing w:before="22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г) срок займа не превышает 5 лет.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left="0" w:right="0" w:firstLine="540"/>
        <w:jc w:val="both"/>
        <w:spacing w:before="22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Предоставление совместного финансирования региональным фондом развития промышленности с федеральным фондом развития промышленности осуществляется на условиях программ совместного финансирования проектов.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left="0" w:right="0" w:firstLine="540"/>
        <w:jc w:val="both"/>
        <w:spacing w:before="22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Субсидия в соответствии с настоящими Правилами не предоставляются в целях софинансирования расходных обязательств субъектов Российской Федерации, возникающих при возмещении промышленным предприятиям части затрат на реализацию инвестиционных проектов, со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финансируемых из федерального бюджета в соответствии с иными нормативными правовыми актами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left="0" w:right="0" w:firstLine="540"/>
        <w:jc w:val="both"/>
        <w:spacing w:before="22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Финансовая поддержка региональным фондом развития промышленности за счет средств бюджета субъекта Российской Федерации, источником софинансирования которых являются средства субсидии, не предоставляется на реализацию промышленными предприятиями инвес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тиционных проектов, софинансируемых из федерального бюджета (регионального бюджета) в соответствии с иными нормативными правовыми актами Российской Федерации (нормативными правовыми актами субъектов Российской Федерации), а также финансируемых федеральным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фондом развития промышленности.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Результаты предоставления субсидии: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а) увеличение полной учетной стоимости основных фондов за отчетный год (поступление) за счет создания новой стоимости (ввода в действие новых </w:t>
      </w:r>
      <w:r>
        <w:rPr>
          <w:rFonts w:ascii="Times New Roman" w:hAnsi="Times New Roman" w:cs="Times New Roman"/>
          <w:sz w:val="28"/>
          <w:szCs w:val="28"/>
        </w:rPr>
        <w:t xml:space="preserve">основных фондов, модернизации, реконструкции) по видам экономической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(строка 07 графы 4 формы федерального статистического наблюдения № 11 «Сведения о наличии и движении основных фондов (средств) и других нефинансовых активов»);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б) объем инвестиций в основной капитал по видам экономической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Федерации;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объем отгруженных товаров собственного производства, выполненных собственными силами работ и услуг по видам экономической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Главным распорядителем средств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на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является департамент промышленности и сельского хозяйства правительства Еврейской автономной области (далее – департамент).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департаментом в пред</w:t>
      </w:r>
      <w:r>
        <w:rPr>
          <w:rFonts w:ascii="Times New Roman" w:hAnsi="Times New Roman" w:cs="Times New Roman"/>
          <w:sz w:val="28"/>
          <w:szCs w:val="28"/>
        </w:rPr>
        <w:t xml:space="preserve">елах б</w:t>
      </w:r>
      <w:r>
        <w:rPr>
          <w:rFonts w:ascii="Times New Roman" w:hAnsi="Times New Roman" w:cs="Times New Roman"/>
          <w:sz w:val="28"/>
          <w:szCs w:val="28"/>
        </w:rPr>
        <w:t xml:space="preserve">юджетных ассигнований, предусмотренных законом Еврейской автономной области об областном бюджете на очередной финансовый год и плановый период, в соответствии со сводной бюджетной росписью областного бюджета в пределах лимитов бюджетных обязательств, на ос</w:t>
      </w:r>
      <w:r>
        <w:rPr>
          <w:rFonts w:ascii="Times New Roman" w:hAnsi="Times New Roman" w:cs="Times New Roman"/>
          <w:sz w:val="28"/>
          <w:szCs w:val="28"/>
        </w:rPr>
        <w:t xml:space="preserve">новании соглашения о предоставлении субсидии, заключенного между Фондом и департаментом с использованием государственной интегрированной информационной системы управления общественными финансами «Электронный бюджет» в котором в том числе предусматривается;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540"/>
        <w:jc w:val="both"/>
        <w:spacing w:before="220" w:line="240" w:lineRule="auto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правовой акт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субъекта Российской Федерации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основании которого осуществляются капитализация и (или) докапитализация регионального фонда развития промышленности, документ о перечислении средств бюджета субъекта Российской Федерации в региональный фонд 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звития промышленности - по направлению, указанно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му в </w:t>
      </w:r>
      <w:hyperlink r:id="rId13" w:tooltip="file:///C:/Program%20Files/R7-Office/Editors/editors/web-apps/apps/documenteditor/main/index.html?_dc=0&amp;lang=ru-RU&amp;frameEditorId=placeholder&amp;parentOrigin=file://#P407" w:history="1">
        <w:r>
          <w:rPr>
            <w:rStyle w:val="887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абзаце 2 пункта 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</w:rPr>
        <w:br/>
        <w:t xml:space="preserve">2 настоящих Правил.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– единый портал) в порядке, установленном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Фонд</w:t>
      </w:r>
      <w:r>
        <w:rPr>
          <w:rFonts w:ascii="Times New Roman" w:hAnsi="Times New Roman" w:cs="Times New Roman"/>
          <w:sz w:val="28"/>
          <w:szCs w:val="28"/>
        </w:rPr>
        <w:t xml:space="preserve"> на дату подачи заявки и заключения соглашения о предоставлении субсидии (далее – Соглашение) должен соответствовать следующим требованиям: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</w:t>
      </w:r>
      <w:r>
        <w:rPr>
          <w:rFonts w:ascii="Times New Roman" w:hAnsi="Times New Roman" w:cs="Times New Roman"/>
          <w:sz w:val="28"/>
          <w:szCs w:val="28"/>
        </w:rPr>
        <w:t xml:space="preserve">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</w:t>
      </w:r>
      <w:r>
        <w:rPr>
          <w:rFonts w:ascii="Times New Roman" w:hAnsi="Times New Roman" w:cs="Times New Roman"/>
          <w:sz w:val="28"/>
          <w:szCs w:val="28"/>
        </w:rPr>
        <w:t xml:space="preserve">компаний в совокупности превышает 25 процентов (если иное не предусмотрено законодательством Российской Федерации);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- не получает средства из областного бюджета на основании иных нормативных правовых актов Еврейской автономной области (далее – область) на цели, установленные настоящим Порядком;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-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  <w:r/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находится в составляемых в рамках реализации полномочий, предусмотренных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VII</w:t>
      </w:r>
      <w:r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имеет просроченной задолженности по возврату в областной бюджет иных субсидий,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вленных в соответствии с настоящим Порядком, бюджетных инвестиций, предоставленных в том числе в соответствии с иными правовыми актами области, а также иной просроченной (неурегулированной) задолженности по денежным обязательствам перед областным бюджетом;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имеет на едином налоговом счете задолженности по уплате налогов, сборов и страховых взносов в областной бюджет, размер которой превышает размер, определенный пунктом 3 статьи 47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</w:rPr>
        <w:t xml:space="preserve"> Обязательными условиями предоставления субсидии являются:</w:t>
      </w:r>
      <w:r/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согласие </w:t>
      </w:r>
      <w:r>
        <w:rPr>
          <w:rFonts w:ascii="Times New Roman" w:hAnsi="Times New Roman"/>
          <w:sz w:val="28"/>
        </w:rPr>
        <w:t xml:space="preserve">Фонда</w:t>
      </w:r>
      <w:r>
        <w:rPr>
          <w:rFonts w:ascii="Times New Roman" w:hAnsi="Times New Roman"/>
          <w:sz w:val="28"/>
        </w:rPr>
        <w:t xml:space="preserve"> на осуществление департаментом в отношении получателя субсидии проверки соблюдения порядка и условий предоставления субсидии, в том числе в части достиж</w:t>
      </w:r>
      <w:r>
        <w:rPr>
          <w:rFonts w:ascii="Times New Roman" w:hAnsi="Times New Roman"/>
          <w:sz w:val="28"/>
        </w:rPr>
        <w:t xml:space="preserve">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получения субсидии в соответствии со статьями 268.1 и 269.2 Бюджетного кодекса Российской Федерации;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заключение дополнительно</w:t>
      </w:r>
      <w:r>
        <w:rPr>
          <w:rFonts w:ascii="Times New Roman" w:hAnsi="Times New Roman"/>
          <w:sz w:val="28"/>
        </w:rPr>
        <w:t xml:space="preserve">го соглашения к Соглашению при реорганизации получателя субсидии, являющегося юридическим лицом, в форме слияния, присоединения или преобразования, предусматривающего перемену лица в обязательстве с указанием юридического лица, являющегося правопреемником;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расторжение Соглашения при реорганизации получателя субсидии, являющ</w:t>
      </w:r>
      <w:r>
        <w:rPr>
          <w:rFonts w:ascii="Times New Roman" w:hAnsi="Times New Roman"/>
          <w:sz w:val="28"/>
        </w:rPr>
        <w:t xml:space="preserve">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 формированием департаментом </w:t>
      </w:r>
      <w:r>
        <w:rPr>
          <w:rFonts w:ascii="Times New Roman" w:hAnsi="Times New Roman"/>
          <w:sz w:val="28"/>
        </w:rPr>
        <w:t xml:space="preserve">уведомления о расторжении Соглашения в одностороннем поря</w:t>
      </w:r>
      <w:r>
        <w:rPr>
          <w:rFonts w:ascii="Times New Roman" w:hAnsi="Times New Roman"/>
          <w:sz w:val="28"/>
        </w:rPr>
        <w:t xml:space="preserve">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направления расходов, источником финансового обеспечения которых является субсидия;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запрет приобретения получателями субсидий - юридическими лицами, а также иными юридическими лицами, полу</w:t>
      </w:r>
      <w:r>
        <w:rPr>
          <w:rFonts w:ascii="Times New Roman" w:hAnsi="Times New Roman"/>
          <w:sz w:val="28"/>
          <w:szCs w:val="28"/>
        </w:rPr>
        <w:t xml:space="preserve">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</w:t>
      </w:r>
      <w:r>
        <w:rPr>
          <w:rFonts w:ascii="Times New Roman" w:hAnsi="Times New Roman"/>
          <w:sz w:val="28"/>
          <w:szCs w:val="28"/>
        </w:rPr>
        <w:t xml:space="preserve">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возможность осуществления расходов, источником финансового</w:t>
      </w:r>
      <w:r>
        <w:rPr>
          <w:rFonts w:ascii="Times New Roman" w:hAnsi="Times New Roman"/>
          <w:sz w:val="28"/>
          <w:szCs w:val="28"/>
        </w:rPr>
        <w:t xml:space="preserve"> обеспечения которых являются не использованные в отчетном финансовом году остатки субсидий, и включение таких положений в соглашение при принятии главным распорядителем бюджетных средств в установленном в соответствии с нормативными правовыми актами субъе</w:t>
      </w:r>
      <w:r>
        <w:rPr>
          <w:rFonts w:ascii="Times New Roman" w:hAnsi="Times New Roman"/>
          <w:sz w:val="28"/>
          <w:szCs w:val="28"/>
        </w:rPr>
        <w:t xml:space="preserve">ктов Российской Федерации,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 (при необходимости);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перечисление субсидии на расчетные или корреспондентские счета, открытые получателям субсидий в учреждениях Централь</w:t>
      </w:r>
      <w:r>
        <w:rPr>
          <w:rFonts w:ascii="Times New Roman" w:hAnsi="Times New Roman"/>
          <w:sz w:val="28"/>
          <w:szCs w:val="28"/>
        </w:rPr>
        <w:t xml:space="preserve">ного банка Российской Федерации или кредитных организациях,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</w:t>
      </w:r>
      <w:r>
        <w:rPr>
          <w:rFonts w:ascii="Times New Roman" w:hAnsi="Times New Roman"/>
          <w:sz w:val="28"/>
          <w:szCs w:val="28"/>
        </w:rPr>
        <w:t xml:space="preserve">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</w:t>
      </w:r>
      <w:r>
        <w:rPr>
          <w:rFonts w:ascii="Times New Roman" w:hAnsi="Times New Roman"/>
          <w:sz w:val="28"/>
          <w:szCs w:val="28"/>
        </w:rPr>
        <w:t xml:space="preserve">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</w:t>
      </w:r>
      <w:hyperlink r:id="rId14" w:tooltip="https://login.consultant.ru/link/?req=doc&amp;base=LAW&amp;n=480810&amp;dst=3704" w:history="1">
        <w:r>
          <w:rPr>
            <w:rStyle w:val="887"/>
            <w:rFonts w:ascii="Times New Roman" w:hAnsi="Times New Roman"/>
            <w:color w:val="auto"/>
            <w:sz w:val="28"/>
            <w:szCs w:val="28"/>
            <w:u w:val="none"/>
          </w:rPr>
          <w:t xml:space="preserve">статьями 268.1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15" w:tooltip="https://login.consultant.ru/link/?req=doc&amp;base=LAW&amp;n=480810&amp;dst=3722" w:history="1">
        <w:r>
          <w:rPr>
            <w:rStyle w:val="887"/>
            <w:rFonts w:ascii="Times New Roman" w:hAnsi="Times New Roman"/>
            <w:color w:val="auto"/>
            <w:sz w:val="28"/>
            <w:szCs w:val="28"/>
            <w:u w:val="none"/>
          </w:rPr>
          <w:t xml:space="preserve">269.2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на включение таких положений в соглашение;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порядок и сроки возврата субсидий и средств, полученных на основании договоров, заключенных с получателями субсидий, в бюджет бюджетной системы Российской Федерации, из которого предусматривается предоставление субсидии в соответствии с правовым актом;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казначейское сопровождение средств в случаях и порядке, которые установлены в соответствии с бюджетным законодательством Российской Федерации.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 Субсидия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Фонду на основании следующих документов (сведений):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 заявления о предоставлении субсидии (по форме, утвержденной департаментом);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копии устава;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плана финансово-хозяйственной деятельности Фонда с указанием направления и сроков использования субсидии;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сметы расходов на реализацию плана;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письменного обязательства руководителя Фонда о соблюдении запрета приобретения за счет полученных средств субсидии иностранной валюты, за исключением операций, осуществ</w:t>
      </w:r>
      <w:r>
        <w:rPr>
          <w:rFonts w:ascii="Times New Roman" w:hAnsi="Times New Roman" w:cs="Times New Roman"/>
          <w:sz w:val="28"/>
          <w:szCs w:val="28"/>
        </w:rPr>
        <w:t xml:space="preserve">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цели предоставления указанных средств иных операций;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выписки из Единого государственного реестра юридических лиц, выданной не ранее чем за 30 дней до даты подачи документов на получение субсидии;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</w:t>
      </w:r>
      <w:r>
        <w:rPr>
          <w:rFonts w:ascii="Times New Roman" w:hAnsi="Times New Roman" w:cs="Times New Roman"/>
          <w:sz w:val="28"/>
          <w:szCs w:val="28"/>
        </w:rPr>
        <w:t xml:space="preserve"> сведений об отсутствии на едином налоговом счете или не превышении размера, определенного </w:t>
      </w:r>
      <w:hyperlink r:id="rId16" w:tooltip="https://login.consultant.ru/link/?req=doc&amp;base=LAW&amp;n=482777&amp;dst=5769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3 статьи 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 xml:space="preserve">сведений из перечня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 xml:space="preserve">сведений из перечней организаций и физических лиц, связанных с терроризмом или с распространением оружия массового уничтожения, составляемых в соответствии с решением Совета Безопасности ООН;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</w:t>
      </w:r>
      <w:r>
        <w:rPr>
          <w:rFonts w:ascii="Times New Roman" w:hAnsi="Times New Roman" w:cs="Times New Roman"/>
          <w:sz w:val="28"/>
          <w:szCs w:val="28"/>
        </w:rPr>
        <w:t xml:space="preserve"> сведений, подтверждающих, что Фонд не является иностранным агентом в соответствии с Федеральным </w:t>
      </w:r>
      <w:hyperlink r:id="rId17" w:tooltip="https://login.consultant.ru/link/?req=doc&amp;base=LAW&amp;n=465999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14.07.2022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255-ФЗ «О контроле за деятельностью лиц, находящихся под иностранным влиянием».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в департамент документы, предусмотренные подпунктами 1 - 6 настоящего пункта.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</w:t>
      </w:r>
      <w:r>
        <w:rPr>
          <w:rFonts w:ascii="Times New Roman" w:hAnsi="Times New Roman" w:cs="Times New Roman"/>
          <w:sz w:val="28"/>
          <w:szCs w:val="28"/>
        </w:rPr>
        <w:t xml:space="preserve">кументы, представляемые в копиях, должны быть заверены в установленном порядке. Если копии не заверены, они представляются с приложением оригиналов и заверяются специалистом департамента, принимающим документы, после проверки их на соответствие оригиналам.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не вправе требовать от </w:t>
      </w:r>
      <w:r>
        <w:rPr>
          <w:rFonts w:ascii="Times New Roman" w:hAnsi="Times New Roman" w:cs="Times New Roman"/>
          <w:sz w:val="28"/>
          <w:szCs w:val="28"/>
        </w:rPr>
        <w:t xml:space="preserve">Фонда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документов (сведений), предусмотренных подпунктами 7 - 1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пункта. </w:t>
      </w:r>
      <w:r>
        <w:rPr>
          <w:rFonts w:ascii="Times New Roman" w:hAnsi="Times New Roman" w:cs="Times New Roman"/>
          <w:sz w:val="28"/>
          <w:szCs w:val="28"/>
        </w:rPr>
        <w:t xml:space="preserve">Фонд</w:t>
      </w:r>
      <w:r>
        <w:rPr>
          <w:rFonts w:ascii="Times New Roman" w:hAnsi="Times New Roman" w:cs="Times New Roman"/>
          <w:sz w:val="28"/>
          <w:szCs w:val="28"/>
        </w:rPr>
        <w:t xml:space="preserve"> вправе представить указанные документы (сведения) в департамент по собственной инициативе.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Фонд</w:t>
      </w:r>
      <w:r>
        <w:rPr>
          <w:rFonts w:ascii="Times New Roman" w:hAnsi="Times New Roman" w:cs="Times New Roman"/>
          <w:sz w:val="28"/>
          <w:szCs w:val="28"/>
        </w:rPr>
        <w:t xml:space="preserve"> не представил документы (сведения), предусмотренные подпунктами 7 - 1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департамент запрашивает их в порядке межведомственного информационного взаимодействия.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 Департамент не позднее 10 рабочих дней после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Фондом</w:t>
      </w:r>
      <w:r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5 настоящего Порядка, принимает решение о предоставлении субсидии либо об отказе в предоставлении субсидии, о чем уведомляет </w:t>
      </w:r>
      <w:r>
        <w:rPr>
          <w:rFonts w:ascii="Times New Roman" w:hAnsi="Times New Roman" w:cs="Times New Roman"/>
          <w:sz w:val="28"/>
          <w:szCs w:val="28"/>
        </w:rPr>
        <w:t xml:space="preserve">Фонд</w:t>
      </w:r>
      <w:r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соответствующего решения.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Основаниями </w:t>
      </w:r>
      <w:r>
        <w:rPr>
          <w:rFonts w:ascii="Times New Roman" w:hAnsi="Times New Roman" w:cs="Times New Roman"/>
          <w:sz w:val="28"/>
          <w:szCs w:val="28"/>
        </w:rPr>
        <w:t xml:space="preserve">для отказа в предоставлении субсидии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Фондом</w:t>
      </w:r>
      <w:r>
        <w:rPr>
          <w:rFonts w:ascii="Times New Roman" w:hAnsi="Times New Roman" w:cs="Times New Roman"/>
          <w:sz w:val="28"/>
          <w:szCs w:val="28"/>
        </w:rPr>
        <w:t xml:space="preserve"> документов требованиям, определенным </w:t>
      </w:r>
      <w:hyperlink r:id="rId18" w:tooltip="https://login.consultant.ru/link/?req=doc&amp;base=RLAW426&amp;n=87836&amp;dst=100210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установление факта недостоверности представленной </w:t>
      </w:r>
      <w:r>
        <w:rPr>
          <w:rFonts w:ascii="Times New Roman" w:hAnsi="Times New Roman" w:cs="Times New Roman"/>
          <w:sz w:val="28"/>
          <w:szCs w:val="28"/>
        </w:rPr>
        <w:t xml:space="preserve">Фондом</w:t>
      </w:r>
      <w:r>
        <w:rPr>
          <w:rFonts w:ascii="Times New Roman" w:hAnsi="Times New Roman" w:cs="Times New Roman"/>
          <w:sz w:val="28"/>
          <w:szCs w:val="28"/>
        </w:rPr>
        <w:t xml:space="preserve"> информации;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Фонда</w:t>
      </w:r>
      <w:r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hyperlink r:id="rId19" w:tooltip="https://login.consultant.ru/link/?req=doc&amp;base=RLAW426&amp;n=87836&amp;dst=100201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документов позднее срока, определенного </w:t>
      </w:r>
      <w:hyperlink r:id="rId20" w:tooltip="https://login.consultant.ru/link/?req=doc&amp;base=RLAW426&amp;n=87836&amp;dst=100210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. После устранения недостатков, послуживших принятию решения об отказе в предоставлении субсидии, </w:t>
      </w:r>
      <w:r>
        <w:rPr>
          <w:rFonts w:ascii="Times New Roman" w:hAnsi="Times New Roman" w:cs="Times New Roman"/>
          <w:sz w:val="28"/>
          <w:szCs w:val="28"/>
        </w:rPr>
        <w:t xml:space="preserve">Фонд</w:t>
      </w:r>
      <w:r>
        <w:rPr>
          <w:rFonts w:ascii="Times New Roman" w:hAnsi="Times New Roman" w:cs="Times New Roman"/>
          <w:sz w:val="28"/>
          <w:szCs w:val="28"/>
        </w:rPr>
        <w:t xml:space="preserve"> вправе повторно обратиться в департамент в порядке, установленном настоящим Порядком.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. Субсидия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Фонду</w:t>
      </w:r>
      <w:r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 и лимитов бюджетных обязательств на основании Соглашения в соответствии с типовой формой, утвержденной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уменьшения департаменту как получателю бюджетных средств ранее доведенных лимитов бюджетных обязательств, указанных в </w:t>
      </w:r>
      <w:hyperlink r:id="rId21" w:tooltip="https://login.consultant.ru/link/?req=doc&amp;base=RLAW426&amp;n=87836&amp;dst=100200" w:history="1">
        <w:r>
          <w:rPr>
            <w:rFonts w:ascii="Times New Roman" w:hAnsi="Times New Roman" w:cs="Times New Roman"/>
            <w:sz w:val="28"/>
            <w:szCs w:val="28"/>
          </w:rPr>
          <w:t xml:space="preserve">пункте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недостижении согласия по новым условиям.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Департамент осуществляет перечисление субсидии на расчетные счета, открытые </w:t>
      </w:r>
      <w:r>
        <w:rPr>
          <w:rFonts w:ascii="Times New Roman" w:hAnsi="Times New Roman" w:cs="Times New Roman"/>
          <w:sz w:val="28"/>
          <w:szCs w:val="28"/>
        </w:rPr>
        <w:t xml:space="preserve">Фондом</w:t>
      </w:r>
      <w:r>
        <w:rPr>
          <w:rFonts w:ascii="Times New Roman" w:hAnsi="Times New Roman" w:cs="Times New Roman"/>
          <w:sz w:val="28"/>
          <w:szCs w:val="28"/>
        </w:rPr>
        <w:t xml:space="preserve"> в кредитных организациях, в течение 10 рабочих дней со дня принятия решения о предоставлении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r:id="rId22" w:tooltip="https://login.consultant.ru/link/?req=doc&amp;base=RLAW426&amp;n=87836&amp;dst=100334" w:history="1">
        <w:r>
          <w:rPr>
            <w:rFonts w:ascii="Times New Roman" w:hAnsi="Times New Roman" w:cs="Times New Roman"/>
            <w:sz w:val="28"/>
            <w:szCs w:val="28"/>
          </w:rPr>
          <w:t xml:space="preserve">абзацем </w:t>
        </w:r>
        <w:r>
          <w:rPr>
            <w:rFonts w:ascii="Times New Roman" w:hAnsi="Times New Roman" w:cs="Times New Roman"/>
            <w:sz w:val="28"/>
            <w:szCs w:val="28"/>
          </w:rPr>
          <w:t xml:space="preserve">третьим</w:t>
        </w:r>
        <w:r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департамент заключает с </w:t>
      </w:r>
      <w:r>
        <w:rPr>
          <w:rFonts w:ascii="Times New Roman" w:hAnsi="Times New Roman" w:cs="Times New Roman"/>
          <w:sz w:val="28"/>
          <w:szCs w:val="28"/>
        </w:rPr>
        <w:t xml:space="preserve">Фондом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дополнительное соглашение к Соглашению.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уменьшения департаменту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</w:t>
      </w:r>
      <w:r>
        <w:rPr>
          <w:rFonts w:ascii="Times New Roman" w:hAnsi="Times New Roman" w:cs="Times New Roman"/>
          <w:sz w:val="28"/>
          <w:szCs w:val="28"/>
        </w:rPr>
        <w:t xml:space="preserve">Соглашении, в Соглашение включается условие о согласовании новых условий Соглашения или о расторжении Соглашения при недостижении согласия по новым условиям.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Субсидия носит целевой характер и не может использоваться на цели, не предусмотренные настоящим Порядком.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Фонд</w:t>
      </w:r>
      <w:r>
        <w:rPr>
          <w:rFonts w:ascii="Times New Roman" w:hAnsi="Times New Roman" w:cs="Times New Roman"/>
          <w:sz w:val="28"/>
          <w:szCs w:val="28"/>
        </w:rPr>
        <w:t xml:space="preserve"> не реже 1 раза в квартал представляет в департамент отчетность по типовым формам, установленным Министерством финансов Российской Федерации для соглашений о предоставлении субсидий: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отчет о достижении значений результатов;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отчет о расходах,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сточником финансового обеспечения которых является субсидия, с приложением документов, подтверждающих понесенные расходы (договоры, платежные документы, товарные накладные, универсальные передаточные документы, акты приема-передачи, полный свод начислений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оплате труда, акты приемки выполненных работ (оказанных услуг), иные первичные учетные документы).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Перечень отчетов о финансово-экономическом состоянии Фонда, а также сроки их представления определяются Соглашением.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Отчеты подаются в департамент руководителем Фонда</w:t>
      </w:r>
      <w:r>
        <w:rPr>
          <w:rFonts w:ascii="Times New Roman" w:hAnsi="Times New Roman" w:cs="Times New Roman"/>
          <w:sz w:val="28"/>
          <w:szCs w:val="28"/>
        </w:rPr>
        <w:t xml:space="preserve"> лично либо через представителя Фонда на бумажном носителе. К отчетам прилагается копия документа, удостоверяющего полномочия представителя Фонда (в случае подачи отчетности через представителя Фонда).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случае недостижения Фондом результатов предоставления субсидии и показателей, необходимых для достижения значения результатов предоставления субсидии, полученная субсидия подлежит возврату в областной бюджет в порядке, установленном </w:t>
      </w:r>
      <w:hyperlink w:tooltip="#Par62" w:anchor="Par6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19 настоящего Порядка, в размере, рассчитанном по следующей формуле: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возврата</w:t>
      </w:r>
      <w:r>
        <w:rPr>
          <w:rFonts w:ascii="Times New Roman" w:hAnsi="Times New Roman" w:cs="Times New Roman"/>
          <w:sz w:val="28"/>
          <w:szCs w:val="28"/>
        </w:rPr>
        <w:t xml:space="preserve"> = (V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субсидии</w:t>
      </w:r>
      <w:r>
        <w:rPr>
          <w:rFonts w:ascii="Times New Roman" w:hAnsi="Times New Roman" w:cs="Times New Roman"/>
          <w:sz w:val="28"/>
          <w:szCs w:val="28"/>
        </w:rPr>
        <w:t xml:space="preserve"> x k x m / n) x 0,1,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субсидии</w:t>
      </w:r>
      <w:r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Фонду в отчетном финансовом году;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m - количество п</w:t>
      </w:r>
      <w:r>
        <w:rPr>
          <w:rFonts w:ascii="Times New Roman" w:hAnsi="Times New Roman" w:cs="Times New Roman"/>
          <w:sz w:val="28"/>
          <w:szCs w:val="28"/>
        </w:rPr>
        <w:t xml:space="preserve">оказателей, необходимых для достижения значений результатов предоставления субсидии, по которым индекс, отражающий уровень недостижения i-го показателя, необходимого для достижения значений результатов предоставления субсидии, имеет положительное значение;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- общее количество показателей, необходимых для достижения значений результатов предоставления субсидии;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 - коэффициент возврата субсидии, который рассчитывается по следующей 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 = SUM 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m,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где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contextualSpacing/>
        <w:ind w:firstLine="540"/>
        <w:jc w:val="both"/>
        <w:keepLines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- индекс, отражающий уровень недостижения i-го показателя, необходимого для достижения значений результатов предоставления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keepLines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недостижения i-го показателя, необходимого для достижения результатов предоставления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keepLines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Индекс, отражающий уровень недостижения i-го показателя, необходимого для достижения значений результатов предоставления субсидии, определяется: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для показателей, необходимых для достижения значений результатов предоставления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= 1 - T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/ 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i-го показателя, необходимого для достижения значений результатов предоставления субсидии, на отчетную дату;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показателя, необходимого для достижения значений результатов предоставления субсидии, установленное соглашением;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для показателей, необходимых для достижения значений результатов предоставления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= 1 - 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/ T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объема средств, подлежащих возврату, в размере субсидии, предоставленной Фонду в отчетном финансовом году (V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субсидии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не учитывается размер остатка субсидии, не использованного по состоянию на 31 декабря отчетного финансового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17. Департамент осуществляет мониторинг достижения значений результата предоставления субсидии исходя из достижения значения результата предоставления субс</w:t>
      </w:r>
      <w:r>
        <w:rPr>
          <w:rFonts w:ascii="Times New Roman" w:hAnsi="Times New Roman" w:cs="Times New Roman"/>
          <w:sz w:val="28"/>
          <w:szCs w:val="28"/>
        </w:rPr>
        <w:t xml:space="preserve">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18. Ответственность за целевое использование субсидии, полноту и достоверность представляемых в департамент документов и отчетов несет Фонд.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19. Контроль за соблюдением Фондом условий, целей и порядка получения и расходования субсидии осуществляется департаментом.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bookmarkStart w:id="1" w:name="Par62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20. Департамент осуществляет проверку соблюдения порядка и усл</w:t>
      </w:r>
      <w:r>
        <w:rPr>
          <w:rFonts w:ascii="Times New Roman" w:hAnsi="Times New Roman" w:cs="Times New Roman"/>
          <w:sz w:val="28"/>
          <w:szCs w:val="28"/>
        </w:rPr>
        <w:t xml:space="preserve">овий предоставления субсидии, в том числе в части достижения значений результатов предоставления субсидии. Органы государственного финансового контроля осуществляют проверку соблюдения Фондом порядка и условий предоставления субсидии в соответствии со </w:t>
      </w:r>
      <w:hyperlink r:id="rId23" w:tooltip="https://login.consultant.ru/link/?req=doc&amp;base=LAW&amp;n=469774&amp;dst=370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статьями 268.1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4" w:tooltip="https://login.consultant.ru/link/?req=doc&amp;base=LAW&amp;n=469774&amp;dst=372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269.2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случае нарушения Фондом условий и порядка предоставления субсидии, предусмотренных настоящим Порядком, субсидия подлежат возврату в областной бюджет.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Требование о возврате субсидии в областной бюджет (далее - требование) направляется Центру компетенций департаментом в течение 5 рабочих дней со дня установления нарушения.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субсидии производится Фондом в течение 5 рабочих дней со дня получения требования департамента по реквизитам и коду классификации доходов бюджетов Российской Федерации, указанным в требовании.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" w:name="Par69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21. В случае образования остатка субсидии</w:t>
      </w:r>
      <w:r>
        <w:rPr>
          <w:rFonts w:ascii="Times New Roman" w:hAnsi="Times New Roman" w:cs="Times New Roman"/>
          <w:sz w:val="28"/>
          <w:szCs w:val="28"/>
        </w:rPr>
        <w:t xml:space="preserve">, не использованного на конец текущего финансового года, Фонд не позднее 31 декабря текущего финансового года уведомляет департамент о наличии либо отсутствии потребности в направлении этих средств на цели предоставления субсидии, указанные в </w:t>
      </w:r>
      <w:hyperlink r:id="rId25" w:tooltip="https://login.consultant.ru/link/?req=doc&amp;base=RLAW426&amp;n=87836&amp;dst=100101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 очередном финансовом г</w:t>
      </w:r>
      <w:r>
        <w:rPr>
          <w:rFonts w:ascii="Times New Roman" w:hAnsi="Times New Roman" w:cs="Times New Roman"/>
          <w:sz w:val="28"/>
          <w:szCs w:val="28"/>
        </w:rPr>
        <w:t xml:space="preserve">оду (далее - уведомление). Уведомление должно содержать причину неполного использования субсидии, а также обоснования потребности в средствах в объеме остатков субсидии в очередном финансовом году на цели предоставления субсидии в отчетном финансовом году.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в течение 2 рабочих дней со дня получения уведомления по согласованию </w:t>
      </w:r>
      <w:r>
        <w:rPr>
          <w:rFonts w:ascii="Times New Roman" w:hAnsi="Times New Roman" w:cs="Times New Roman"/>
          <w:sz w:val="28"/>
          <w:szCs w:val="28"/>
        </w:rPr>
        <w:t xml:space="preserve">с департаментом финансов правительства Еврейской автономной области принимает решение о возможности использования остатка субсидии в очередном финансовом году или об отсутствии потребности в средствах субсидии, не использованных в отчетном финансовом году.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департаментом решения об отсутствии потребности в средствах субсидии, не использованных в отчетном финансовом году, департамент в течение 1 </w:t>
      </w:r>
      <w:r>
        <w:rPr>
          <w:rFonts w:ascii="Times New Roman" w:hAnsi="Times New Roman" w:cs="Times New Roman"/>
          <w:sz w:val="28"/>
          <w:szCs w:val="28"/>
        </w:rPr>
        <w:t xml:space="preserve">рабочего дня со дня принятия решения направляет Фонду письменное требование о возврате неиспользованного остатка субсидии. Возврат субсидии осуществляется Фондом в течение 3 рабочих дней со дня получения вышеуказанного требования.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22. При невозврате средств субсидии в сроки, установленные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w:tooltip="#Par62" w:anchor="Par62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пунктами 19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департамент обращается в суд.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540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4. Порядок подписания Соглашения, предоставления отчетности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23. Субсидия предоставляется получателю субсидии </w:t>
      </w:r>
      <w:r>
        <w:rPr>
          <w:rFonts w:ascii="Times New Roman" w:hAnsi="Times New Roman"/>
          <w:sz w:val="28"/>
        </w:rPr>
        <w:t xml:space="preserve">на основании Соглашения, заключенного между департаментом и получателем субсидии по форме, утвержденной Министерством финансов Российской Федерации, в течение 5 рабочих дней со дня размещения на едином портале приказа департамента о распределении субсидий.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ind w:firstLine="709"/>
        <w:jc w:val="both"/>
      </w:pPr>
      <w:r>
        <w:rPr>
          <w:rFonts w:ascii="Times New Roman" w:hAnsi="Times New Roman"/>
          <w:sz w:val="28"/>
        </w:rPr>
        <w:t xml:space="preserve">24</w:t>
      </w:r>
      <w:r>
        <w:rPr>
          <w:rFonts w:ascii="Times New Roman" w:hAnsi="Times New Roman"/>
          <w:sz w:val="28"/>
        </w:rPr>
        <w:t xml:space="preserve">. Получатель субсидии представляет в департамент отчетность</w:t>
      </w:r>
      <w:r>
        <w:t xml:space="preserve"> </w:t>
      </w:r>
      <w:r>
        <w:rPr>
          <w:rFonts w:ascii="Times New Roman" w:hAnsi="Times New Roman"/>
          <w:sz w:val="28"/>
        </w:rPr>
        <w:t xml:space="preserve">о достижении значений результатов предоставления субсидии (далее – отчетность) по типовым формам, установленным Министерством финансов Российской Федерации.</w:t>
      </w:r>
      <w:r/>
    </w:p>
    <w:p>
      <w:pPr>
        <w:pStyle w:val="907"/>
        <w:ind w:firstLine="709"/>
        <w:jc w:val="both"/>
      </w:pPr>
      <w:r>
        <w:rPr>
          <w:rFonts w:ascii="Times New Roman" w:hAnsi="Times New Roman"/>
          <w:sz w:val="28"/>
        </w:rPr>
        <w:t xml:space="preserve">Сроки предоставления отчетности устанавливаются Соглашением.</w:t>
      </w:r>
      <w:r/>
    </w:p>
    <w:p>
      <w:pPr>
        <w:pStyle w:val="907"/>
        <w:ind w:firstLine="709"/>
        <w:jc w:val="both"/>
      </w:pPr>
      <w:r>
        <w:rPr>
          <w:rFonts w:ascii="Times New Roman" w:hAnsi="Times New Roman"/>
          <w:sz w:val="28"/>
        </w:rPr>
        <w:t xml:space="preserve">Отчетность размещается получателем субсидии в системе «Электронный бюджет».</w:t>
      </w:r>
      <w:r/>
    </w:p>
    <w:p>
      <w:pPr>
        <w:pStyle w:val="907"/>
        <w:ind w:firstLine="709"/>
        <w:jc w:val="both"/>
      </w:pPr>
      <w:r>
        <w:rPr>
          <w:rFonts w:ascii="Times New Roman" w:hAnsi="Times New Roman"/>
          <w:sz w:val="28"/>
        </w:rPr>
        <w:t xml:space="preserve">Департамент осуществляет проверку и принятие отчетности, представленной получателем субсидии, в срок, не превышающий 20 рабочих дней со дня ее представления.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25. Д</w:t>
      </w:r>
      <w:r>
        <w:rPr>
          <w:rFonts w:ascii="Times New Roman" w:hAnsi="Times New Roman"/>
          <w:sz w:val="28"/>
        </w:rPr>
        <w:t xml:space="preserve">епартамент осуществляет проверку соблюдения порядка и условий предоставления субсидии. Органы государственного финансового контроля также осуществляют проверку соблюдения получателем субсидии порядка и условий получения субсидии в соответствии со статьями </w:t>
      </w:r>
      <w:r>
        <w:rPr>
          <w:rFonts w:ascii="Times New Roman" w:hAnsi="Times New Roman"/>
          <w:sz w:val="28"/>
        </w:rPr>
        <w:t xml:space="preserve">268.1 и 269.</w:t>
      </w:r>
      <w:r>
        <w:rPr>
          <w:rFonts w:ascii="Times New Roman" w:hAnsi="Times New Roman"/>
          <w:sz w:val="28"/>
        </w:rPr>
        <w:t xml:space="preserve">2 Бюджетного кодекса Российской Федерации.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За нарушение условий и порядка предоставления субсидии, а также за непредставление (несвоевременное представление) отчетности департаментом предусматриваются штрафные санкции, определяемые Соглашением.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Если в результате проверки выявлено несоблюдение порядка и условий предоставления субсидии, полученную сумму субсидии получатель субсидии обязан добровол</w:t>
      </w:r>
      <w:r>
        <w:rPr>
          <w:rFonts w:ascii="Times New Roman" w:hAnsi="Times New Roman"/>
          <w:sz w:val="28"/>
        </w:rPr>
        <w:t xml:space="preserve">ьно вернуть в течение 30 календарных дней с момента выявления несоблюдения порядка и условий предоставления субсидии в областной бюджет с указанием кодов бюджетной классификации и по реквизитам, указанным в платежных поручениях на поступление этих средств.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При отказе получателя субсидии от добровольного возврата указанных средств они взыскиваются департаментом в судебном порядке.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Ответственность за достоверность документов, представленных для получения субсидий, и содержащихся в них сведений несут получатели субсидий в соответствии с действующим законодательством.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Департамент осуществляет проведение мониторинга достижения значений результатов предоставления субс</w:t>
      </w:r>
      <w:r>
        <w:rPr>
          <w:rFonts w:ascii="Times New Roman" w:hAnsi="Times New Roman"/>
          <w:sz w:val="28"/>
        </w:rPr>
        <w:t xml:space="preserve">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Губернатор области</w:t>
      </w:r>
      <w:r>
        <w:rPr>
          <w:rFonts w:ascii="Times New Roman" w:hAnsi="Times New Roman" w:eastAsia="Times New Roman" w:cs="Times New Roman"/>
          <w:sz w:val="28"/>
          <w:szCs w:val="24"/>
        </w:rPr>
        <w:tab/>
      </w:r>
      <w:r>
        <w:rPr>
          <w:rFonts w:ascii="Times New Roman" w:hAnsi="Times New Roman" w:eastAsia="Times New Roman" w:cs="Arial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eastAsia="Times New Roman" w:cs="Arial"/>
          <w:sz w:val="28"/>
          <w:szCs w:val="28"/>
        </w:rPr>
        <w:t xml:space="preserve"> </w:t>
      </w:r>
      <w:r>
        <w:rPr>
          <w:rFonts w:ascii="Times New Roman" w:hAnsi="Times New Roman" w:eastAsia="Times New Roman" w:cs="Arial"/>
          <w:sz w:val="28"/>
          <w:szCs w:val="28"/>
        </w:rPr>
        <w:t xml:space="preserve"> </w:t>
      </w:r>
      <w:r>
        <w:rPr>
          <w:rFonts w:ascii="Times New Roman" w:hAnsi="Times New Roman" w:eastAsia="Times New Roman" w:cs="Arial"/>
          <w:sz w:val="28"/>
          <w:szCs w:val="28"/>
        </w:rPr>
        <w:t xml:space="preserve">Р.Э. 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80196388"/>
      <w:docPartObj>
        <w:docPartGallery w:val="Page Numbers (Top of Page)"/>
        <w:docPartUnique w:val="true"/>
      </w:docPartObj>
      <w:rPr/>
    </w:sdtPr>
    <w:sdtContent>
      <w:p>
        <w:pPr>
          <w:pStyle w:val="755"/>
          <w:jc w:val="center"/>
        </w:pPr>
        <w:r>
          <w:fldChar w:fldCharType="begin"/>
        </w:r>
        <w:r>
          <w:instrText xml:space="preserve">PAGE   \* MERGEFORMAT</w:instrText>
        </w:r>
        <w:r>
          <w:rPr>
            <w:rFonts w:ascii="Times New Roman" w:hAnsi="Times New Roman" w:eastAsia="Times New Roman" w:cs="Times New Roman"/>
          </w:rPr>
          <w:fldChar w:fldCharType="separate"/>
        </w:r>
        <w:r>
          <w:rPr>
            <w:rFonts w:ascii="Times New Roman" w:hAnsi="Times New Roman" w:eastAsia="Times New Roman" w:cs="Times New Roman"/>
          </w:rPr>
          <w:t xml:space="preserve">2</w:t>
        </w:r>
        <w:r>
          <w:rPr>
            <w:rFonts w:ascii="Times New Roman" w:hAnsi="Times New Roman" w:eastAsia="Times New Roman" w:cs="Times New Roman"/>
          </w:rPr>
          <w:fldChar w:fldCharType="end"/>
        </w:r>
        <w:r/>
      </w:p>
    </w:sdtContent>
  </w:sdt>
  <w:p>
    <w:pPr>
      <w:pStyle w:val="75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jc w:val="right"/>
    </w:pPr>
    <w:r>
      <w:rPr>
        <w:rFonts w:ascii="Times New Roman" w:hAnsi="Times New Roman" w:eastAsia="Times New Roman" w:cs="Times New Roman"/>
        <w:sz w:val="28"/>
        <w:szCs w:val="28"/>
      </w:rPr>
      <w:t xml:space="preserve">ПРОЕКТ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52" w:hanging="45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14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3"/>
  </w:num>
  <w:num w:numId="12">
    <w:abstractNumId w:val="4"/>
  </w:num>
  <w:num w:numId="13">
    <w:abstractNumId w:val="7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 w:default="1">
    <w:name w:val="Normal"/>
    <w:qFormat/>
  </w:style>
  <w:style w:type="paragraph" w:styleId="709">
    <w:name w:val="Heading 1"/>
    <w:basedOn w:val="708"/>
    <w:next w:val="708"/>
    <w:link w:val="73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0">
    <w:name w:val="Heading 2"/>
    <w:basedOn w:val="708"/>
    <w:next w:val="708"/>
    <w:link w:val="73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1">
    <w:name w:val="Heading 3"/>
    <w:basedOn w:val="708"/>
    <w:next w:val="708"/>
    <w:link w:val="74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2">
    <w:name w:val="Heading 4"/>
    <w:basedOn w:val="708"/>
    <w:next w:val="708"/>
    <w:link w:val="74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08"/>
    <w:next w:val="708"/>
    <w:link w:val="74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next w:val="708"/>
    <w:link w:val="74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5">
    <w:name w:val="Heading 7"/>
    <w:basedOn w:val="708"/>
    <w:next w:val="708"/>
    <w:link w:val="74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6">
    <w:name w:val="Heading 8"/>
    <w:basedOn w:val="708"/>
    <w:next w:val="708"/>
    <w:link w:val="74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7">
    <w:name w:val="Heading 9"/>
    <w:basedOn w:val="708"/>
    <w:next w:val="708"/>
    <w:link w:val="74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Heading 1 Char"/>
    <w:basedOn w:val="718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Heading 2 Char"/>
    <w:basedOn w:val="718"/>
    <w:uiPriority w:val="9"/>
    <w:rPr>
      <w:rFonts w:ascii="Arial" w:hAnsi="Arial" w:eastAsia="Arial" w:cs="Arial"/>
      <w:sz w:val="34"/>
    </w:rPr>
  </w:style>
  <w:style w:type="character" w:styleId="723" w:customStyle="1">
    <w:name w:val="Heading 3 Char"/>
    <w:basedOn w:val="718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Heading 4 Char"/>
    <w:basedOn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Heading 5 Char"/>
    <w:basedOn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Heading 6 Char"/>
    <w:basedOn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Heading 7 Char"/>
    <w:basedOn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Heading 8 Char"/>
    <w:basedOn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Heading 9 Char"/>
    <w:basedOn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730" w:customStyle="1">
    <w:name w:val="Title Char"/>
    <w:basedOn w:val="718"/>
    <w:uiPriority w:val="10"/>
    <w:rPr>
      <w:sz w:val="48"/>
      <w:szCs w:val="48"/>
    </w:rPr>
  </w:style>
  <w:style w:type="character" w:styleId="731" w:customStyle="1">
    <w:name w:val="Subtitle Char"/>
    <w:basedOn w:val="718"/>
    <w:uiPriority w:val="11"/>
    <w:rPr>
      <w:sz w:val="24"/>
      <w:szCs w:val="24"/>
    </w:rPr>
  </w:style>
  <w:style w:type="character" w:styleId="732" w:customStyle="1">
    <w:name w:val="Quote Char"/>
    <w:uiPriority w:val="29"/>
    <w:rPr>
      <w:i/>
    </w:rPr>
  </w:style>
  <w:style w:type="character" w:styleId="733" w:customStyle="1">
    <w:name w:val="Intense Quote Char"/>
    <w:uiPriority w:val="30"/>
    <w:rPr>
      <w:i/>
    </w:rPr>
  </w:style>
  <w:style w:type="character" w:styleId="734" w:customStyle="1">
    <w:name w:val="Header Char"/>
    <w:basedOn w:val="718"/>
    <w:uiPriority w:val="99"/>
  </w:style>
  <w:style w:type="character" w:styleId="735" w:customStyle="1">
    <w:name w:val="Caption Char"/>
    <w:uiPriority w:val="99"/>
  </w:style>
  <w:style w:type="character" w:styleId="736" w:customStyle="1">
    <w:name w:val="Footnote Text Char"/>
    <w:uiPriority w:val="99"/>
    <w:rPr>
      <w:sz w:val="18"/>
    </w:rPr>
  </w:style>
  <w:style w:type="character" w:styleId="737" w:customStyle="1">
    <w:name w:val="Endnote Text Char"/>
    <w:uiPriority w:val="99"/>
    <w:rPr>
      <w:sz w:val="20"/>
    </w:rPr>
  </w:style>
  <w:style w:type="character" w:styleId="738" w:customStyle="1">
    <w:name w:val="Заголовок 1 Знак"/>
    <w:link w:val="709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Заголовок 2 Знак"/>
    <w:link w:val="710"/>
    <w:uiPriority w:val="9"/>
    <w:rPr>
      <w:rFonts w:ascii="Arial" w:hAnsi="Arial" w:eastAsia="Arial" w:cs="Arial"/>
      <w:sz w:val="34"/>
    </w:rPr>
  </w:style>
  <w:style w:type="character" w:styleId="740" w:customStyle="1">
    <w:name w:val="Заголовок 3 Знак"/>
    <w:link w:val="711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Заголовок 4 Знак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Заголовок 5 Знак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Заголовок 6 Знак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Title"/>
    <w:basedOn w:val="708"/>
    <w:next w:val="708"/>
    <w:link w:val="748"/>
    <w:uiPriority w:val="10"/>
    <w:qFormat/>
    <w:pPr>
      <w:contextualSpacing/>
      <w:spacing w:before="300"/>
    </w:pPr>
    <w:rPr>
      <w:sz w:val="48"/>
      <w:szCs w:val="48"/>
    </w:rPr>
  </w:style>
  <w:style w:type="character" w:styleId="748" w:customStyle="1">
    <w:name w:val="Заголовок Знак"/>
    <w:link w:val="747"/>
    <w:uiPriority w:val="10"/>
    <w:rPr>
      <w:sz w:val="48"/>
      <w:szCs w:val="48"/>
    </w:rPr>
  </w:style>
  <w:style w:type="paragraph" w:styleId="749">
    <w:name w:val="Subtitle"/>
    <w:basedOn w:val="708"/>
    <w:next w:val="708"/>
    <w:link w:val="750"/>
    <w:uiPriority w:val="11"/>
    <w:qFormat/>
    <w:pPr>
      <w:spacing w:before="200"/>
    </w:pPr>
    <w:rPr>
      <w:sz w:val="24"/>
      <w:szCs w:val="24"/>
    </w:rPr>
  </w:style>
  <w:style w:type="character" w:styleId="750" w:customStyle="1">
    <w:name w:val="Подзаголовок Знак"/>
    <w:link w:val="749"/>
    <w:uiPriority w:val="11"/>
    <w:rPr>
      <w:sz w:val="24"/>
      <w:szCs w:val="24"/>
    </w:rPr>
  </w:style>
  <w:style w:type="paragraph" w:styleId="751">
    <w:name w:val="Quote"/>
    <w:basedOn w:val="708"/>
    <w:next w:val="708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08"/>
    <w:next w:val="708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paragraph" w:styleId="755">
    <w:name w:val="Header"/>
    <w:basedOn w:val="708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Верхний колонтитул Знак"/>
    <w:link w:val="755"/>
    <w:uiPriority w:val="99"/>
  </w:style>
  <w:style w:type="paragraph" w:styleId="757">
    <w:name w:val="Footer"/>
    <w:basedOn w:val="708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8" w:customStyle="1">
    <w:name w:val="Footer Char"/>
    <w:uiPriority w:val="99"/>
  </w:style>
  <w:style w:type="paragraph" w:styleId="759">
    <w:name w:val="Caption"/>
    <w:basedOn w:val="708"/>
    <w:next w:val="708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60" w:customStyle="1">
    <w:name w:val="Нижний колонтитул Знак"/>
    <w:link w:val="757"/>
    <w:uiPriority w:val="99"/>
  </w:style>
  <w:style w:type="table" w:styleId="761">
    <w:name w:val="Table Grid"/>
    <w:basedOn w:val="7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2" w:customStyle="1">
    <w:name w:val="Table Grid Light"/>
    <w:basedOn w:val="71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3">
    <w:name w:val="Plain Table 1"/>
    <w:basedOn w:val="71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71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 w:customStyle="1">
    <w:name w:val="Grid Table 4 - Accent 1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1" w:customStyle="1">
    <w:name w:val="Grid Table 4 - Accent 2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2" w:customStyle="1">
    <w:name w:val="Grid Table 4 - Accent 3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3" w:customStyle="1">
    <w:name w:val="Grid Table 4 - Accent 4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4" w:customStyle="1">
    <w:name w:val="Grid Table 4 - Accent 5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5" w:customStyle="1">
    <w:name w:val="Grid Table 4 - Accent 6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6">
    <w:name w:val="Grid Table 5 Dark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3">
    <w:name w:val="Grid Table 6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4" w:customStyle="1">
    <w:name w:val="Grid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5" w:customStyle="1">
    <w:name w:val="Grid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6" w:customStyle="1">
    <w:name w:val="Grid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7" w:customStyle="1">
    <w:name w:val="Grid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8" w:customStyle="1">
    <w:name w:val="Grid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9" w:customStyle="1">
    <w:name w:val="Grid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0">
    <w:name w:val="Grid Table 7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1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2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3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4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5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6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>
    <w:name w:val="List Table 6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3" w:customStyle="1">
    <w:name w:val="List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4" w:customStyle="1">
    <w:name w:val="List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5" w:customStyle="1">
    <w:name w:val="List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6" w:customStyle="1">
    <w:name w:val="List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7" w:customStyle="1">
    <w:name w:val="List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8" w:customStyle="1">
    <w:name w:val="List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9">
    <w:name w:val="List Table 7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ned - Accent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Lined - Accent 1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Lined - Accent 2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Lined - Accent 3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Lined - Accent 4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Lined - Accent 5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Lined - Accent 6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 &amp; Lined - Accent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Bordered &amp; Lined - Accent 1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5" w:customStyle="1">
    <w:name w:val="Bordered &amp; Lined - Accent 2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6" w:customStyle="1">
    <w:name w:val="Bordered &amp; Lined - Accent 3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7" w:customStyle="1">
    <w:name w:val="Bordered &amp; Lined - Accent 4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8" w:customStyle="1">
    <w:name w:val="Bordered &amp; Lined - Accent 5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9" w:customStyle="1">
    <w:name w:val="Bordered &amp; Lined - Accent 6"/>
    <w:basedOn w:val="71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0" w:customStyle="1">
    <w:name w:val="Bordered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1" w:customStyle="1">
    <w:name w:val="Bordered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2" w:customStyle="1">
    <w:name w:val="Bordered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3" w:customStyle="1">
    <w:name w:val="Bordered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4" w:customStyle="1">
    <w:name w:val="Bordered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5" w:customStyle="1">
    <w:name w:val="Bordered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6" w:customStyle="1">
    <w:name w:val="Bordered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563c1" w:themeColor="hyperlink"/>
      <w:u w:val="single"/>
    </w:rPr>
  </w:style>
  <w:style w:type="paragraph" w:styleId="888">
    <w:name w:val="footnote text"/>
    <w:basedOn w:val="708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 w:customStyle="1">
    <w:name w:val="Текст сноски Знак"/>
    <w:link w:val="888"/>
    <w:uiPriority w:val="99"/>
    <w:rPr>
      <w:sz w:val="18"/>
    </w:rPr>
  </w:style>
  <w:style w:type="character" w:styleId="890">
    <w:name w:val="footnote reference"/>
    <w:uiPriority w:val="99"/>
    <w:unhideWhenUsed/>
    <w:rPr>
      <w:vertAlign w:val="superscript"/>
    </w:rPr>
  </w:style>
  <w:style w:type="paragraph" w:styleId="891">
    <w:name w:val="endnote text"/>
    <w:basedOn w:val="708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 w:customStyle="1">
    <w:name w:val="Текст концевой сноски Знак"/>
    <w:link w:val="891"/>
    <w:uiPriority w:val="99"/>
    <w:rPr>
      <w:sz w:val="20"/>
    </w:rPr>
  </w:style>
  <w:style w:type="character" w:styleId="893">
    <w:name w:val="endnote reference"/>
    <w:uiPriority w:val="99"/>
    <w:semiHidden/>
    <w:unhideWhenUsed/>
    <w:rPr>
      <w:vertAlign w:val="superscript"/>
    </w:rPr>
  </w:style>
  <w:style w:type="paragraph" w:styleId="894">
    <w:name w:val="toc 1"/>
    <w:basedOn w:val="708"/>
    <w:next w:val="708"/>
    <w:uiPriority w:val="39"/>
    <w:unhideWhenUsed/>
    <w:pPr>
      <w:spacing w:after="57"/>
    </w:pPr>
  </w:style>
  <w:style w:type="paragraph" w:styleId="895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96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97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98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99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900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901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902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708"/>
    <w:next w:val="708"/>
    <w:uiPriority w:val="99"/>
    <w:unhideWhenUsed/>
    <w:pPr>
      <w:spacing w:after="0"/>
    </w:pPr>
  </w:style>
  <w:style w:type="paragraph" w:styleId="905">
    <w:name w:val="No Spacing"/>
    <w:basedOn w:val="708"/>
    <w:uiPriority w:val="1"/>
    <w:qFormat/>
    <w:pPr>
      <w:spacing w:after="0" w:line="240" w:lineRule="auto"/>
    </w:pPr>
  </w:style>
  <w:style w:type="paragraph" w:styleId="906">
    <w:name w:val="List Paragraph"/>
    <w:basedOn w:val="708"/>
    <w:uiPriority w:val="34"/>
    <w:qFormat/>
    <w:pPr>
      <w:contextualSpacing/>
      <w:ind w:left="720"/>
    </w:pPr>
  </w:style>
  <w:style w:type="paragraph" w:styleId="907" w:customStyle="1">
    <w:name w:val="ConsPlusNormal"/>
    <w:pPr>
      <w:ind w:firstLine="720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paragraph" w:styleId="908" w:customStyle="1">
    <w:name w:val="ConsPlusTitl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  <w:b/>
      <w:color w:val="000000"/>
      <w:szCs w:val="20"/>
      <w:lang w:val="en-US" w:eastAsia="zh-CN"/>
    </w:rPr>
  </w:style>
  <w:style w:type="character" w:styleId="909">
    <w:name w:val="Unresolved Mention"/>
    <w:basedOn w:val="718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login.consultant.ru/link/?req=doc&amp;base=LAW&amp;n=440395&amp;dst=100531" TargetMode="External"/><Relationship Id="rId13" Type="http://schemas.openxmlformats.org/officeDocument/2006/relationships/hyperlink" Target="file:///C:/Program%20Files/R7-Office/Editors/editors/web-apps/apps/documenteditor/main/index.html?_dc=0&amp;lang=ru-RU&amp;frameEditorId=placeholder&amp;parentOrigin=file://#P407" TargetMode="External"/><Relationship Id="rId14" Type="http://schemas.openxmlformats.org/officeDocument/2006/relationships/hyperlink" Target="https://login.consultant.ru/link/?req=doc&amp;base=LAW&amp;n=480810&amp;dst=3704" TargetMode="External"/><Relationship Id="rId15" Type="http://schemas.openxmlformats.org/officeDocument/2006/relationships/hyperlink" Target="https://login.consultant.ru/link/?req=doc&amp;base=LAW&amp;n=480810&amp;dst=3722" TargetMode="External"/><Relationship Id="rId16" Type="http://schemas.openxmlformats.org/officeDocument/2006/relationships/hyperlink" Target="https://login.consultant.ru/link/?req=doc&amp;base=LAW&amp;n=482777&amp;dst=5769" TargetMode="External"/><Relationship Id="rId17" Type="http://schemas.openxmlformats.org/officeDocument/2006/relationships/hyperlink" Target="https://login.consultant.ru/link/?req=doc&amp;base=LAW&amp;n=465999" TargetMode="External"/><Relationship Id="rId18" Type="http://schemas.openxmlformats.org/officeDocument/2006/relationships/hyperlink" Target="https://login.consultant.ru/link/?req=doc&amp;base=RLAW426&amp;n=87836&amp;dst=100210" TargetMode="External"/><Relationship Id="rId19" Type="http://schemas.openxmlformats.org/officeDocument/2006/relationships/hyperlink" Target="https://login.consultant.ru/link/?req=doc&amp;base=RLAW426&amp;n=87836&amp;dst=100201" TargetMode="External"/><Relationship Id="rId20" Type="http://schemas.openxmlformats.org/officeDocument/2006/relationships/hyperlink" Target="https://login.consultant.ru/link/?req=doc&amp;base=RLAW426&amp;n=87836&amp;dst=100210" TargetMode="External"/><Relationship Id="rId21" Type="http://schemas.openxmlformats.org/officeDocument/2006/relationships/hyperlink" Target="https://login.consultant.ru/link/?req=doc&amp;base=RLAW426&amp;n=87836&amp;dst=100200" TargetMode="External"/><Relationship Id="rId22" Type="http://schemas.openxmlformats.org/officeDocument/2006/relationships/hyperlink" Target="https://login.consultant.ru/link/?req=doc&amp;base=RLAW426&amp;n=87836&amp;dst=100334" TargetMode="External"/><Relationship Id="rId23" Type="http://schemas.openxmlformats.org/officeDocument/2006/relationships/hyperlink" Target="https://login.consultant.ru/link/?req=doc&amp;base=LAW&amp;n=469774&amp;dst=3704" TargetMode="External"/><Relationship Id="rId24" Type="http://schemas.openxmlformats.org/officeDocument/2006/relationships/hyperlink" Target="https://login.consultant.ru/link/?req=doc&amp;base=LAW&amp;n=469774&amp;dst=3722" TargetMode="External"/><Relationship Id="rId25" Type="http://schemas.openxmlformats.org/officeDocument/2006/relationships/hyperlink" Target="https://login.consultant.ru/link/?req=doc&amp;base=RLAW426&amp;n=87836&amp;dst=10010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6E1E5-B68D-477A-A247-AE0B59C3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Тузик Надежда Анатольевна</dc:creator>
  <cp:revision>6</cp:revision>
  <dcterms:created xsi:type="dcterms:W3CDTF">2024-09-19T04:53:00Z</dcterms:created>
  <dcterms:modified xsi:type="dcterms:W3CDTF">2024-09-23T00:39:08Z</dcterms:modified>
</cp:coreProperties>
</file>